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449</w:t>
      </w:r>
    </w:p>
    <w:p>
      <w:r>
        <w:t>Bundesgericht (BGE), 2019-03-05, FR</w:t>
      </w:r>
    </w:p>
    <w:p>
      <w:r>
        <w:rPr>
          <w:b/>
        </w:rPr>
        <w:t xml:space="preserve">Quelle: </w:t>
      </w:r>
      <w:r>
        <w:t>https://mcp.opencaselaw.ch/entscheid/bge_145 IV 449</w:t>
      </w:r>
    </w:p>
    <w:p>
      <w:r>
        <w:t>FR: ATF 145 IV 449</w:t>
      </w:r>
    </w:p>
    <w:p>
      <w:r>
        <w:t>IT: DTF 145 IV 449</w:t>
      </w:r>
    </w:p>
    <w:p>
      <w:pPr>
        <w:pStyle w:val="Heading2"/>
      </w:pPr>
      <w:r>
        <w:t>Regeste</w:t>
      </w:r>
    </w:p>
    <w:p>
      <w:r>
        <w:t>Regeste Art. 115 Abs. 1 lit. b AIG; Art. 34 Abs. 1 StGB; Dauerdelikt; gesetzliche Höchststrafe. Art. 115 Abs. 1 lit. b AIG bezeichnet ein Dauerdelikt, für welches eine Freiheitsstrafe bis zu einem Jahr oder eine Geldstrafe auszusprechen ist. Die Summe der wegen dieses Dauerdelikts ausgesprochenen Strafen darf die im Gesetz angedrohte Höchststrafe nicht überschreiten. Entscheidet sich der Richter eine Geldstrafe auszusprechen, hat er zu bestimmen, wieviele Strafeinheiten der beschuldigten Person wegen des besagten Dauerdelikts bereits auferlegt wurden und darauf zu achten, dass die in Art. 34 Abs. 1 erster Satz StGB vorgesehene Höchstgrenze von 180 Tagessätzen nicht überschritten wird (E. 1).</w:t>
      </w:r>
    </w:p>
    <w:p>
      <w:pPr>
        <w:pStyle w:val="Heading2"/>
      </w:pPr>
      <w:r>
        <w:t>Erwägungen</w:t>
      </w:r>
    </w:p>
    <w:p>
      <w:r>
        <w:rPr>
          <w:b/>
        </w:rPr>
        <w:t>E. 1</w:t>
      </w:r>
    </w:p>
    <w:p>
      <w:r>
        <w:t>Le recourant reproche à la cour cantonale d'avoir prononcé une peine d'une quotité nulle à l'encontre de l'intimé.</w:t>
      </w:r>
    </w:p>
    <w:p>
      <w:r>
        <w:rPr>
          <w:b/>
        </w:rPr>
        <w:t>E. 1.1</w:t>
      </w:r>
    </w:p>
    <w:p>
      <w:r>
        <w:t>Aux termes de l'art. 115 al. 1 let. b de la loi fédérale du 16 décembre 2005 sur les étrangers et l'intégration (LEI; RS 142.20 [LEtr jusqu'au 31 décembre 2018]), est puni d'une peine privative de liberté d'un an au plus ou d'une peine pécuniaire quiconque séjourne illégalement en Suisse, notamment après l'expiration de la durée du séjour non soumis à autorisation ou du séjour autorisé. 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 ATF 135 IV 6 consid. 3.2 p. 9).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BGE 145 IV 449 S. 452 la peine maximale prévue par la loi ( ATF 135 IV 6 consid. 4.2 p. 11; arrêt 6B_118/2017 du 14 juillet 2017 consid. 5.3.2).</w:t>
      </w:r>
    </w:p>
    <w:p>
      <w:r>
        <w:rPr>
          <w:b/>
        </w:rPr>
        <w:t>E. 1.2</w:t>
      </w:r>
    </w:p>
    <w:p>
      <w:r>
        <w:t>La cour cantonale a tout d'abord exposé que le séjour illégal de l'intimé ne pouvait, compte tenu de la jurisprudence du Tribunal fédéral (cf. en particulier ATF 143 IV 249 consid. 1.9 p. 260 s.), qu'être sanctionné par une peine pécuniaire, à l'exclusion d'une peine privative de liberté. S'agissant de la quotité de la peine pécuniaire, l'autorité précédente a indiqué qu'au regard des précédentes condamnations de l'intimé, qui représentaient une "quotité totale de 22 mois et 10 jours pour sept condamnations pour, essentiellement, des infractions de séjour illégal", l'intéressé avait déjà été condamné à plus de "180 unités pénales" en raison du délit continu précité. Selon elle, l'intimé ne pouvait donc plus être sanctionné au moyen d'une peine pécuniaire, laquelle ne pouvait excéder 180 jours-amende au regard de l' art. 34 al. 1, 1 re phrase, CP dans sa teneur à partir du 1 er janvier 2018.</w:t>
      </w:r>
    </w:p>
    <w:p>
      <w:r>
        <w:rPr>
          <w:b/>
        </w:rPr>
        <w:t>E. 1.3</w:t>
      </w:r>
    </w:p>
    <w:p>
      <w:r>
        <w:t>En l'espèce, le recourant ne conteste pas le principe même d'une peine pécuniaire. Il ne conteste pas davantage que, en application de la jurisprudence du Tribunal fédéral précitée - en particulier à défaut d'une nouvelle décision d'agir illicitement de la part de l'intimé depuis ses précédentes condamnations (cf. consid. 1.1 supra) -, la somme des sanctions prononcées à raison du délit continu de séjour illégal ne pouvait excéder la peine maximale prévue par la loi. Ces aspects sont donc acquis à l'intimé. Il s'agit donc uniquement d'examiner si l'autorité précédente a, à bon droit, considéré qu'elle ne pouvait plus - compte tenu des unités pénales déjà infligées à l'intimé dans le cadre de ses précédentes condamnations - prononcer de nouveaux jours-amende puisque le maximum de 180 unités prévu à l' art. 34 al. 1, 1 re phrase, CP avait déjà été atteint.</w:t>
      </w:r>
    </w:p>
    <w:p>
      <w:r>
        <w:rPr>
          <w:b/>
        </w:rPr>
        <w:t>E. 1.4</w:t>
      </w:r>
    </w:p>
    <w:p>
      <w:r>
        <w:t>A cet égard, on ne saurait suivre l'argumentation du recourant. Contrairement à ce qu'affirme ce dernier, la peine menace de l' art. 115 al. 1 LEI n'est pas "d'un an, soit 360 unités pénales". Selon le texte légal, l'auteur de l'infraction peut se voir infliger une peine privative de liberté d'un an au plus ou une peine pécuniaire. Dès lors que l' art. 115 al. 1 LEI ne comporte aucune précision s'agissant du nombre maximal de jours-amende pouvant être prononcé, il convient de se référer à l' art. 34 al. 1, 1 re phrase, CP afin de déterminer celui-ci. Cette dernière disposition ne fixe pas un plafond absolu en matière de peine pécuniaire, puisque la limite de 180 jours-amende vaut "sauf BGE 145 IV 449 S. 453 disposition contraire". Or, il n'apparaît aucunement, à la lecture de l' art. 115 al. 1 LEI , qu'un nombre supérieur de jours-amende pourrait être prononcé, contrairement à ce qui ressort par exemple de l' art. 305 bis ch. 2 al. 1 CP , qui évoque explicitement une peine pécuniaire de 500 jours-amende. Certes, jusqu'à la modification de l' art. 34 al. 1, 1 re phrase, CP en vigueur depuis le 1 er janvier 2018, les peines pécuniaire et privative de liberté maximales prévues à l' art. 115 al. 1 LEI (LEtr à l'époque) étaient de même durée. Rien ne permet toutefois de penser que le législateur aurait, après la réforme de l' art. 34 al. 1, 1 re phrase, CP, souhaité conserver cette concordance entre les peines. Au contraire, la réforme du droit des sanctions a été adoptée antérieurement à celle de la LEI (cf. RO 2016 1249 et RO 2017 6521), de sorte que le législateur aurait eu le loisir, si telle avait été sa volonté, de fixer à 360 jours-amende le plafond de la peine pécuniaire encourue en cas d'infraction à l' art. 115 al. 1 LEI . Comme le relève le recourant, avec un délit continu tel que celui reproché à l'intimé sur la base de l' art. 115 al. 1 LEI , une application de l' art. 49 CP n'entrait pas en ligne de compte, cette dernière disposition supposant précisément la commission de plusieurs infractions. Cela ne change cependant rien à l'applicabilité de l' art. 34 al. 1 CP en relation avec l' art. 115 al. 1 LEI en cas de délit continu, l'arrêt publié aux ATF 144 IV 217 - cité par le recourant - n'ayant aucunement réservé cette première disposition aux prononcés de peines complémentaires.</w:t>
      </w:r>
    </w:p>
    <w:p>
      <w:r>
        <w:rPr>
          <w:b/>
        </w:rPr>
        <w:t>E. 1.5</w:t>
      </w:r>
    </w:p>
    <w:p>
      <w:r>
        <w:t>Au vu de ce qui précède, dès lors que la cour cantonale avait à juger un délit continu et ne pouvait prononcer une sanction excédant la peine maximale prévue par la loi, elle devait se demander - après avoir choisi le genre de la peine - quel était le seuil déterminant et combien d'unités pénales avaient déjà été infligées à l'intimé par le passé en raison dudit délit. Après avoir choisi de prononcer une peine pécuniaire, l'autorité précédente ne pouvait que constater, comme elle l'a fait, que la peine maximale prévue par la loi était, s'agissant d'une sanction de ce genre, de 180 jours-amende (cf. art. 34 al. 1, 1 re phrase, CP). On relèvera au demeurant que seule une telle constatation s'accorde avec l'exigence jurisprudentielle en matière d'adaptation de la sanction à la culpabilité du prévenu considérée dans son ensemble (cf. consid. 1.1 supra). On ne voit pas, en effet, pourquoi le prévenu condamné à plusieurs reprises en raison d'un délit continu devrait être sanctionné plus sévèrement - respectivement encourir une peine pécuniaire maximale plus élevée - BGE 145 IV 449 S. 454 que s'il faisait l'objet d'une unique condamnation, sa culpabilité globale demeurant identique dans les deux configurations. La cour cantonale n'a donc aucunement violé le droit fédéral en tenant compte d'un seuil déterminant de 180 jours-amende et non de 360 jours-amende comme le suggère le recourant. Il reste à déterminer si la peine prononcée à l'encontre du recourant était, concrètement, conforme au droit fédéral (cf. consid. 1.6 infra).</w:t>
      </w:r>
    </w:p>
    <w:p>
      <w:r>
        <w:rPr>
          <w:b/>
        </w:rPr>
        <w:t>E. 1.6</w:t>
      </w:r>
    </w:p>
    <w:p>
      <w:r>
        <w:t>L'autorité précédente a constaté que l'intimé avait, par le passé, fait l'objet de diverses condamnations par lesquelles un total de 22 mois et 10 jours de privation de liberté ou de jours-amende lui avait été infligé, cela essentiellement pour des infractions de séjour illégal. Elle en a conclu que le seuil de 180 unités - déterminant s'agissant du genre de peine envisagé - avait déjà été atteint.</w:t>
      </w:r>
    </w:p>
    <w:p>
      <w:r>
        <w:rPr>
          <w:b/>
        </w:rPr>
        <w:t>E. 1.6.1</w:t>
      </w:r>
    </w:p>
    <w:p>
      <w:r>
        <w:t>A cet égard, le recourant reproche à la cour cantonale d'avoir violé son droit d'être entendu, puisque les différentes condamnations antérieures de l'intimé ne concernaient pas exclusivement des infractions de séjour illégal et que l'autorité précédente n'a pas précisément déterminé combien d'unités pénales avaient déjà été infligées à l'intéressé à ce seul titre. Ce grief est, en l'occurrence, sans portée, compte tenu de ce qui suit.</w:t>
      </w:r>
    </w:p>
    <w:p>
      <w:r>
        <w:rPr>
          <w:b/>
        </w:rPr>
        <w:t>E. 1.6.2</w:t>
      </w:r>
    </w:p>
    <w:p>
      <w:r>
        <w:t>Le recourant soutient, à tort (cf. consid. 1.5 supra), que le plafond de la peine pécuniaire concernant l'ensemble des condamnations relatives au délit continu de séjour illégal devait atteindre 360 joursamende et non 180 jours-amende. Fondé sur cette prémisse, il affirme que seules 260 unités pénales auraient été infligées à l'intimé pour sanctionner son séjour illégal, ce qui aurait permis à l'autorité précédente de prononcer encore une centaine de jours-amende à cet égard. Or, dès lors que le recourant admet lui-même que le seuil de 180 unités pénales a été atteint, il est sans importance que la cour cantonale n'eût pas établi précisément combien d'entre elles avaient, au regard de l'ensemble des condamnations antérieures, excédé cette limite. Il lui suffisait en effet de constater, comme elle l'a fait, qu'aucun jour-amende supplémentaire ne pouvait être infligé à l'intimé en raison du délit continu de séjour illégal.</w:t>
      </w:r>
    </w:p>
    <w:p>
      <w:r>
        <w:rPr>
          <w:b/>
        </w:rPr>
        <w:t>E. 1.7</w:t>
      </w:r>
    </w:p>
    <w:p>
      <w:r>
        <w:t>En conséquence, l'autorité précédente pouvait, à bon droit, condamner l'intimé à une peine d'une quotité nulle.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